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2729"/>
        <w:gridCol w:w="10739"/>
      </w:tblGrid>
      <w:tr w:rsidR="000B63FB" w:rsidRPr="00B726DC" w14:paraId="41440D5B" w14:textId="77777777" w:rsidTr="000B63FB">
        <w:trPr>
          <w:trHeight w:val="516"/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CE8EA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Odb.</w:t>
            </w:r>
          </w:p>
        </w:tc>
        <w:tc>
          <w:tcPr>
            <w:tcW w:w="9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335EB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3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4300532" w14:textId="77777777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Připomínky VZP ČR</w:t>
            </w:r>
          </w:p>
        </w:tc>
      </w:tr>
      <w:tr w:rsidR="000B63FB" w:rsidRPr="00B726DC" w14:paraId="69833439" w14:textId="77777777" w:rsidTr="00BA01D7">
        <w:trPr>
          <w:trHeight w:val="34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17598C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3121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06350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SIGNÁLNÍ VÝKON PRO MIMOŘÁDNOU OŠETŘOVATELSKOU ČINNOST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nový výkon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01AE" w14:textId="77777777" w:rsidR="000B63FB" w:rsidRPr="00A625F0" w:rsidRDefault="000B63FB" w:rsidP="00B5765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NESOUHLAS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</w:t>
            </w:r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jde o opakované podání pouze v jiné podobě, mimořádné okolnosti nejsou blíže popsány, péče odb. 925 je indikována lékařem …</w:t>
            </w:r>
            <w:r w:rsidRPr="00B5765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jde o navýšení časové dotace péče bez jasných limitací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, p</w:t>
            </w:r>
            <w:r w:rsidRPr="00B57656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okud v rámci indikovaného ošetření nastane akutní mimořádná potřeba ošetřovatelské péče, lze řešit navýšením stávající ošetř. návštěvy. </w:t>
            </w:r>
          </w:p>
          <w:p w14:paraId="4249AA38" w14:textId="77777777" w:rsidR="000B63FB" w:rsidRDefault="000B63FB" w:rsidP="00687EC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Trváme na dodržení max. 3 návštěv denně. Pokud dojde k akutní změně zdravotního stavu,</w:t>
            </w:r>
            <w:r w:rsidRPr="00A625F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bude ve zdravot. dokumentaci o této události záznam včetně informace o telefonickém informování indikujícího lékaře, nebo zda byla přivolána RZS.</w:t>
            </w:r>
          </w:p>
          <w:p w14:paraId="25532CEB" w14:textId="7F108B83" w:rsidR="000B63FB" w:rsidRPr="009066E0" w:rsidRDefault="000B63FB" w:rsidP="00687EC6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</w:t>
            </w: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ýkony domácí péče lze vykázat pouze na základě indikace provedené podle zákona o veřejném zdravotním pojištění.</w:t>
            </w:r>
          </w:p>
          <w:p w14:paraId="0D1269B2" w14:textId="77777777" w:rsidR="009066E0" w:rsidRDefault="009066E0" w:rsidP="009066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05A4A52F" w14:textId="5A1B80E7" w:rsidR="009066E0" w:rsidRDefault="009066E0" w:rsidP="009066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  <w:t>Stahujeme návrh výkonu z projednávání za účelem jeho zpřesnění.</w:t>
            </w:r>
          </w:p>
          <w:p w14:paraId="12514E56" w14:textId="77777777" w:rsidR="009066E0" w:rsidRPr="009066E0" w:rsidRDefault="009066E0" w:rsidP="009066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</w:pPr>
          </w:p>
          <w:p w14:paraId="0B5225DD" w14:textId="442648A8" w:rsidR="000B63FB" w:rsidRPr="00A625F0" w:rsidRDefault="000B63FB" w:rsidP="00A625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76F343AE" w14:textId="77777777" w:rsidTr="00BA01D7">
        <w:trPr>
          <w:trHeight w:val="6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75D99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B031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06313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OŠETŘOVACÍ NÁVŠTĚVA - DOMÁCÍ PÉČE - TYP I.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DB8C5D" w14:textId="77777777" w:rsidR="000B63FB" w:rsidRDefault="000B63FB" w:rsidP="00A625F0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Jedná se pouze o časový výkon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domácí ošetřovatelské návštěvy</w:t>
            </w: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, tj. nesouhlas s uvedením </w:t>
            </w:r>
            <w:r w:rsidRPr="00A625F0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 xml:space="preserve">textu "Ke sledování je možno využít i vzdálenou kontrolu za pomoci telemedicínských technologií." </w:t>
            </w: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Naopak, k vykázání časového výkonu je třeba fyzická přítomnost sestry u pacienta. </w:t>
            </w:r>
          </w:p>
          <w:p w14:paraId="7D2FFEA2" w14:textId="77777777" w:rsidR="000B63FB" w:rsidRPr="00B66A88" w:rsidRDefault="000B63FB" w:rsidP="00A625F0">
            <w:pPr>
              <w:pStyle w:val="Odstavecseseznamem"/>
              <w:numPr>
                <w:ilvl w:val="0"/>
                <w:numId w:val="31"/>
              </w:numPr>
              <w:spacing w:after="0" w:line="240" w:lineRule="auto"/>
              <w:ind w:left="213" w:hanging="142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K dalším úpravám - </w:t>
            </w:r>
            <w:r w:rsidRPr="00FF25B6">
              <w:rPr>
                <w:rFonts w:ascii="Arial" w:eastAsia="Times New Roman" w:hAnsi="Arial" w:cs="Arial"/>
                <w:b/>
                <w:bCs/>
                <w:sz w:val="16"/>
                <w:szCs w:val="16"/>
                <w:u w:val="single"/>
                <w:lang w:eastAsia="cs-CZ"/>
              </w:rPr>
              <w:t>nedoporučujeme upravit,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obsah péče uvedený v RL </w:t>
            </w:r>
            <w:r w:rsidRPr="00A625F0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v obecné rovině </w:t>
            </w:r>
            <w:r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popisuje poskytovanou péči/ukotvuje rámec návštěvy, zakotvená textace v RL historicky nečiní problém </w:t>
            </w:r>
          </w:p>
          <w:p w14:paraId="52D3770D" w14:textId="77777777" w:rsidR="00B66A88" w:rsidRPr="00D926D3" w:rsidRDefault="00B66A88" w:rsidP="00B66A88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</w:p>
          <w:p w14:paraId="4F3E02E7" w14:textId="190226F8" w:rsidR="00D926D3" w:rsidRDefault="00D926D3" w:rsidP="00B66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highlight w:val="lightGray"/>
                <w:lang w:eastAsia="cs-CZ"/>
              </w:rPr>
            </w:pPr>
            <w:r w:rsidRPr="00B66A88"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highlight w:val="lightGray"/>
                <w:lang w:eastAsia="cs-CZ"/>
              </w:rPr>
              <w:t>Reakce předkladatele:</w:t>
            </w:r>
          </w:p>
          <w:p w14:paraId="5973CBF2" w14:textId="77777777" w:rsidR="00B66A88" w:rsidRPr="00B66A88" w:rsidRDefault="00B66A88" w:rsidP="00B66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highlight w:val="lightGray"/>
                <w:lang w:eastAsia="cs-CZ"/>
              </w:rPr>
            </w:pPr>
          </w:p>
          <w:p w14:paraId="3A9AEB53" w14:textId="24BCB8DA" w:rsidR="009F2B38" w:rsidRPr="009F2B38" w:rsidRDefault="003B5FA3" w:rsidP="009F2B38">
            <w:pPr>
              <w:spacing w:after="0" w:line="240" w:lineRule="auto"/>
              <w:ind w:left="71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9F2B38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Cílem navrhovaných změn je zjednodušit obsah registračního listu </w:t>
            </w:r>
            <w:r w:rsidR="00FB73A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k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 výkonům Ošetřovací návštěva typ I-IV</w:t>
            </w:r>
            <w:r w:rsidR="006433E1" w:rsidRPr="009F2B38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r w:rsidRPr="009F2B38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tak, aby nebyl zavádějící, nepůsobil v praxi problémy v rámci revizní činnosti zdravotních pojišťoven</w:t>
            </w:r>
            <w:r w:rsidR="00FB73A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a</w:t>
            </w:r>
            <w:r w:rsidRPr="009F2B38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r w:rsidR="009F2B38" w:rsidRPr="009F2B38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odpovídal reálné praxi. Pro podporu našeho návrhu odkazujeme na obsah registračního listu k výkonu 06613 – ošetřovatelská intervence v odbornosti 913, kde jsou stručné popisy jako zcela dostatečné akceptovány. </w:t>
            </w:r>
          </w:p>
          <w:p w14:paraId="0D3B9325" w14:textId="15CB7D84" w:rsidR="009F2B38" w:rsidRPr="003B5FA3" w:rsidRDefault="009F2B38" w:rsidP="009F2B38">
            <w:pPr>
              <w:spacing w:after="0" w:line="240" w:lineRule="auto"/>
              <w:ind w:left="71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06E124BA" w14:textId="77777777" w:rsidR="009E7D90" w:rsidRPr="009E7D90" w:rsidRDefault="00C95CD3" w:rsidP="009E7D90">
            <w:pPr>
              <w:spacing w:after="0" w:line="240" w:lineRule="auto"/>
              <w:ind w:left="71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9E7D90"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  <w:t>Komentář ke změně Popisu výkonu:</w:t>
            </w:r>
            <w:r w:rsidRPr="009E7D90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</w:p>
          <w:p w14:paraId="367588F8" w14:textId="30B41046" w:rsidR="00D926D3" w:rsidRPr="005F7074" w:rsidRDefault="00C95CD3" w:rsidP="009E7D90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5F7074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Stávající popis výkonu zní: </w:t>
            </w:r>
            <w:r w:rsidRPr="005F7074">
              <w:rPr>
                <w:rFonts w:ascii="Arial" w:eastAsia="Times New Roman" w:hAnsi="Arial" w:cs="Arial"/>
                <w:i/>
                <w:iCs/>
                <w:color w:val="EE0000"/>
                <w:sz w:val="16"/>
                <w:szCs w:val="16"/>
                <w:lang w:eastAsia="cs-CZ"/>
              </w:rPr>
              <w:t>„T</w:t>
            </w:r>
            <w:r w:rsidRPr="005F7074">
              <w:rPr>
                <w:rFonts w:ascii="Arial" w:hAnsi="Arial" w:cs="Arial"/>
                <w:i/>
                <w:iCs/>
                <w:color w:val="EE0000"/>
                <w:sz w:val="16"/>
                <w:szCs w:val="16"/>
                <w:shd w:val="clear" w:color="auto" w:fill="FFFFFF"/>
              </w:rPr>
              <w:t>ato forma domácí zdravotní péče je určena zejména pro pacienty odkázané na ošetřování druhou osobou pro částečnou imobilitu, dezorientaci, inkontinenci a specifickou náročnost ošetřovatelské péče.“</w:t>
            </w:r>
          </w:p>
          <w:p w14:paraId="7D2822D3" w14:textId="77777777" w:rsidR="005F7074" w:rsidRPr="005F7074" w:rsidRDefault="005F7074" w:rsidP="005F7074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</w:p>
          <w:p w14:paraId="6609A19E" w14:textId="2579710B" w:rsidR="00C95CD3" w:rsidRPr="005F7074" w:rsidRDefault="00C95CD3" w:rsidP="00C95CD3">
            <w:pPr>
              <w:pStyle w:val="Odstavecseseznamem"/>
              <w:spacing w:after="0" w:line="240" w:lineRule="auto"/>
              <w:ind w:left="213"/>
              <w:rPr>
                <w:rFonts w:ascii="Fira Sans" w:hAnsi="Fira Sans"/>
                <w:color w:val="EE0000"/>
                <w:shd w:val="clear" w:color="auto" w:fill="F2F8FC"/>
              </w:rPr>
            </w:pPr>
            <w:r w:rsidRPr="005F7074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>Definic</w:t>
            </w:r>
            <w:r w:rsidR="009E7D90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 xml:space="preserve">e </w:t>
            </w:r>
            <w:r w:rsidRPr="005F7074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 xml:space="preserve">návštěvní služby </w:t>
            </w:r>
            <w:r w:rsidR="005F7074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 xml:space="preserve">je obsažena v </w:t>
            </w:r>
            <w:r w:rsidRPr="005F7074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>zákon</w:t>
            </w:r>
            <w:r w:rsidR="005F7074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>ě</w:t>
            </w:r>
            <w:r w:rsidRPr="005F7074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 xml:space="preserve"> o zdravotních službách</w:t>
            </w:r>
            <w:r w:rsidR="00FB73AE">
              <w:rPr>
                <w:rFonts w:ascii="Arial" w:hAnsi="Arial" w:cs="Arial"/>
                <w:color w:val="EE0000"/>
                <w:sz w:val="16"/>
                <w:szCs w:val="16"/>
                <w:shd w:val="clear" w:color="auto" w:fill="FFFFFF"/>
              </w:rPr>
              <w:t>. N</w:t>
            </w:r>
            <w:r w:rsidRPr="005F7074">
              <w:rPr>
                <w:rFonts w:ascii="Arial" w:hAnsi="Arial" w:cs="Arial"/>
                <w:color w:val="EE0000"/>
                <w:sz w:val="16"/>
                <w:szCs w:val="16"/>
                <w:shd w:val="clear" w:color="auto" w:fill="F2F8FC"/>
              </w:rPr>
              <w:t xml:space="preserve">ávštěvní službou </w:t>
            </w:r>
            <w:r w:rsidR="00FB73AE">
              <w:rPr>
                <w:rFonts w:ascii="Arial" w:hAnsi="Arial" w:cs="Arial"/>
                <w:color w:val="EE0000"/>
                <w:sz w:val="16"/>
                <w:szCs w:val="16"/>
                <w:shd w:val="clear" w:color="auto" w:fill="F2F8FC"/>
              </w:rPr>
              <w:t xml:space="preserve">se </w:t>
            </w:r>
            <w:r w:rsidRPr="005F7074">
              <w:rPr>
                <w:rFonts w:ascii="Arial" w:hAnsi="Arial" w:cs="Arial"/>
                <w:color w:val="EE0000"/>
                <w:sz w:val="16"/>
                <w:szCs w:val="16"/>
                <w:shd w:val="clear" w:color="auto" w:fill="F2F8FC"/>
              </w:rPr>
              <w:t>rozumí poskytování zdravotní péče ve vlastním sociálním prostředí</w:t>
            </w:r>
            <w:bookmarkStart w:id="0" w:name="lema2"/>
            <w:bookmarkStart w:id="1" w:name="lema3"/>
            <w:bookmarkEnd w:id="0"/>
            <w:bookmarkEnd w:id="1"/>
            <w:r w:rsidRPr="005F7074">
              <w:rPr>
                <w:rFonts w:ascii="Arial" w:hAnsi="Arial" w:cs="Arial"/>
                <w:color w:val="EE0000"/>
                <w:sz w:val="16"/>
                <w:szCs w:val="16"/>
                <w:shd w:val="clear" w:color="auto" w:fill="F2F8FC"/>
              </w:rPr>
              <w:t xml:space="preserve"> pacienta, a to zejména v případech, kdy se pacient s ohledem na svůj zdravotní stav nemůže dostavit do zdravotnického zařízení poskytovatele a poskytnutí zdravotní péče tímto způsobem je s ohledem na její charakter možné.</w:t>
            </w:r>
            <w:r w:rsidRPr="005F7074">
              <w:rPr>
                <w:rFonts w:ascii="Fira Sans" w:hAnsi="Fira Sans"/>
                <w:color w:val="EE0000"/>
                <w:shd w:val="clear" w:color="auto" w:fill="F2F8FC"/>
              </w:rPr>
              <w:t xml:space="preserve"> </w:t>
            </w:r>
          </w:p>
          <w:p w14:paraId="5975C3BD" w14:textId="77777777" w:rsidR="005F7074" w:rsidRDefault="005F7074" w:rsidP="00C95CD3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</w:p>
          <w:p w14:paraId="4D010D85" w14:textId="77777777" w:rsidR="009E7D90" w:rsidRDefault="00B518F2" w:rsidP="009E7D90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</w:pPr>
            <w:r w:rsidRPr="005F7074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O indikaci hrazené domácí péče vždy rozhoduje ošetřující lékař. </w:t>
            </w:r>
            <w:r w:rsidR="005F7074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Navrhujeme upravit popis výkonu tak, aby nezužovat adresáty této zdravotní služby pouze na pacienty odkázané na ošetřování druhou osobou. Takovéto vymezení je zavádějící a v rámci revizí jsme se již setkali s tím, že s odkazem na popis výkonu v SZV byla indikace zpochybněna, protože </w:t>
            </w:r>
            <w:r w:rsidR="009E7D90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dotyčná osoba sice potřebovala ošetřovatelskou zdravotní péči, ale nebyla závislá na ošetřování druhou osobou. Jedná se o pacienty, kteří jsou schopni se o sebe v domácím prostředí sami postarat, ale s ohledem na aktuální zdravotní stav se nemohou sami dopravit do zdravotnického zařízení. Navrhujeme proto zakotvení obecného popisu výkonu, který bude zahrnovat všechny potenciální situace, které mohou </w:t>
            </w:r>
            <w:r w:rsidR="009E7D90" w:rsidRPr="009E7D90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nastat: </w:t>
            </w:r>
            <w:r w:rsidR="009E7D90" w:rsidRPr="009E7D90"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  <w:t>Tato forma zdravotní péče je určena pro pacienty odkázané na provedení zdravotních výkonů ve vlastním sociálním prostředí pacienta.</w:t>
            </w:r>
          </w:p>
          <w:p w14:paraId="436DE953" w14:textId="77777777" w:rsidR="009E7D90" w:rsidRDefault="009E7D90" w:rsidP="009E7D90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</w:pPr>
          </w:p>
          <w:p w14:paraId="74D91B8C" w14:textId="77777777" w:rsidR="00FB73AE" w:rsidRDefault="00FB73AE" w:rsidP="009E7D90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</w:pPr>
          </w:p>
          <w:p w14:paraId="2DB57D7F" w14:textId="77777777" w:rsidR="00FB73AE" w:rsidRDefault="00FB73AE" w:rsidP="009E7D90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</w:pPr>
            <w:bookmarkStart w:id="2" w:name="_GoBack"/>
            <w:bookmarkEnd w:id="2"/>
          </w:p>
          <w:p w14:paraId="5109F7A0" w14:textId="77777777" w:rsidR="00FB73AE" w:rsidRDefault="00FB73AE" w:rsidP="009E7D90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</w:pPr>
          </w:p>
          <w:p w14:paraId="36D2ABB8" w14:textId="77777777" w:rsidR="00FB73AE" w:rsidRDefault="00FB73AE" w:rsidP="009E7D90">
            <w:pPr>
              <w:pStyle w:val="Odstavecseseznamem"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</w:pPr>
          </w:p>
          <w:p w14:paraId="440A891A" w14:textId="77777777" w:rsidR="009E7D90" w:rsidRDefault="009E7D90" w:rsidP="009E7D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  <w:t>Komentář je změně Poznámky:</w:t>
            </w:r>
          </w:p>
          <w:p w14:paraId="769FEB22" w14:textId="77777777" w:rsidR="009E7D90" w:rsidRDefault="009E7D90" w:rsidP="009E7D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  <w:t>Čím výkon začíná</w:t>
            </w:r>
          </w:p>
          <w:p w14:paraId="41CCC80F" w14:textId="6823B17A" w:rsidR="000F14EC" w:rsidRDefault="009E7D90" w:rsidP="009E7D90">
            <w:pPr>
              <w:spacing w:after="0" w:line="240" w:lineRule="auto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 w:rsidRPr="009E7D90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Navrhujeme nahradit text „</w:t>
            </w:r>
            <w:r w:rsidRPr="009E7D90">
              <w:rPr>
                <w:rFonts w:ascii="Arial" w:hAnsi="Arial" w:cs="Arial"/>
                <w:color w:val="EE0000"/>
                <w:sz w:val="16"/>
                <w:szCs w:val="16"/>
                <w:shd w:val="clear" w:color="auto" w:fill="E9ECF1"/>
              </w:rPr>
              <w:t>Komplexní ošetřovatelskou anamnézou pacienta i prostředí. Ošetřovatelskou diagnozou - stanovením priorit ošetřovatelské péče</w:t>
            </w:r>
            <w:r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  <w:t xml:space="preserve">“ </w:t>
            </w:r>
            <w:r w:rsidRPr="009E7D90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textem </w:t>
            </w:r>
            <w:r w:rsidRPr="00FB73AE"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  <w:t>Přípravou pomůcek k indikovanému výkonu, sledováním aktuálních projevů onemocnění, v případě indikace nebo aktuální potřeby sledováním fyziologických funkcí a dalších tělesných parametrů pacienta</w:t>
            </w:r>
            <w:r w:rsidRPr="009E7D90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.</w:t>
            </w:r>
          </w:p>
          <w:p w14:paraId="26CE87D4" w14:textId="77777777" w:rsidR="00B57240" w:rsidRDefault="00B57240" w:rsidP="009E7D90">
            <w:pPr>
              <w:spacing w:after="0" w:line="240" w:lineRule="auto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</w:p>
          <w:p w14:paraId="5F6565E9" w14:textId="7CA6690D" w:rsidR="00B57240" w:rsidRPr="000F14EC" w:rsidRDefault="00B57240" w:rsidP="009E7D90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Výkony 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Ošetřovací návštěva typ I-IV jsou vykazovány již konkrétní ošetřovatelské intervence, které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byl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y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naplánován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y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v ošetřovatelském plánu k dosažení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účelu stanoveného 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indikujícím 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lékařem.</w:t>
            </w:r>
            <w:r w:rsidR="00FB73A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Vytvoření ošetřovatelského plánu je vykazováno výkonem 06311.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Součástí </w:t>
            </w:r>
            <w:r w:rsidR="00FB73A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výkonů Ošetřovací návštěva typ I-IV 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již není komplexní ošetřovatelská anamnéza a stanovení priorit. Informace uvedené v registrační</w:t>
            </w:r>
            <w:r w:rsidR="00FB73A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ch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list</w:t>
            </w:r>
            <w:r w:rsidR="00FB73A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ech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r w:rsidR="00FB73AE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k výkonům Ošetřovací návštěva typ I-IV 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jsou tedy zavádějící. </w:t>
            </w:r>
            <w:r w:rsidR="000F14EC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Souhlasíme s odstraněním věty: </w:t>
            </w:r>
            <w:r w:rsidR="000F14EC" w:rsidRPr="000F14EC">
              <w:rPr>
                <w:rFonts w:ascii="Arial" w:eastAsia="Times New Roman" w:hAnsi="Arial" w:cs="Arial"/>
                <w:i/>
                <w:iCs/>
                <w:color w:val="EE0000"/>
                <w:sz w:val="16"/>
                <w:szCs w:val="16"/>
                <w:lang w:eastAsia="cs-CZ"/>
              </w:rPr>
              <w:t>Ke sledování je možno využít i vzdálenou kontrolu za pomoci telemedicínských technologií.</w:t>
            </w:r>
          </w:p>
          <w:p w14:paraId="2F9C6946" w14:textId="77777777" w:rsidR="00B57240" w:rsidRDefault="00B57240" w:rsidP="009E7D90">
            <w:pPr>
              <w:spacing w:after="0" w:line="240" w:lineRule="auto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</w:p>
          <w:p w14:paraId="2B850014" w14:textId="77777777" w:rsidR="00B57240" w:rsidRDefault="00B57240" w:rsidP="009E7D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  <w:t>Obsah a rozsah výkonu</w:t>
            </w:r>
          </w:p>
          <w:p w14:paraId="14446D3E" w14:textId="59DF979F" w:rsidR="009E7D90" w:rsidRDefault="00B57240" w:rsidP="009E7D90">
            <w:pPr>
              <w:spacing w:after="0" w:line="240" w:lineRule="auto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Navrhujeme nahradit současný </w:t>
            </w:r>
            <w:r w:rsidRPr="00B57240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text textem: </w:t>
            </w:r>
            <w:r w:rsidRPr="006433E1"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  <w:t>„Provedení indikovaných výkonů dle standardních ošetřovatelských postupů“.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Stávající text </w:t>
            </w:r>
            <w:r w:rsidR="009D4A96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taxativně 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vyjmenovává jednotlivé</w:t>
            </w:r>
            <w:r w:rsidR="009D4A96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typy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ošetřovatelských úkonů, aniž by byl specifikován jejich konkrétní obsah či rozsah.</w:t>
            </w:r>
            <w:r w:rsidR="009D4A96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To ostatně ani není možné v registračním listu uvádět. Co se týče popisu obsahu výkonu, máme </w:t>
            </w:r>
            <w:r w:rsidR="009D4A96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Národní ošetřovatelské postupy a další 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standardní ošetřovatelské postupy. Navrhujeme, aby v registračním listu </w:t>
            </w:r>
            <w:r w:rsidR="009D4A96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v č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á</w:t>
            </w:r>
            <w:r w:rsidR="009D4A96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sti popisující obsah a rozsah výkonu nebyl uváděn taxativní výčet ošetřovatelských intervencí, jelikož definice ošetřovatelské péče je dána zákonem o zdravotních službách a u každého pacienta je rozsah ošetřovatelských intervencí odlišný. Co se týče popisu výkonu, je vhodným řešením odkaz na standardizované odborné postupy.</w:t>
            </w:r>
          </w:p>
          <w:p w14:paraId="380179ED" w14:textId="77777777" w:rsidR="003B5FA3" w:rsidRDefault="003B5FA3" w:rsidP="009E7D90">
            <w:pPr>
              <w:spacing w:after="0" w:line="240" w:lineRule="auto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</w:p>
          <w:p w14:paraId="00698EBA" w14:textId="0996890C" w:rsidR="003B5FA3" w:rsidRDefault="003B5FA3" w:rsidP="009E7D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</w:pPr>
            <w:r w:rsidRPr="003B5FA3"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  <w:t>Čím výkon konč</w:t>
            </w:r>
            <w:r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  <w:t>í</w:t>
            </w:r>
            <w:r w:rsidRPr="003B5FA3"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  <w:t>:</w:t>
            </w:r>
          </w:p>
          <w:p w14:paraId="1D07EEF6" w14:textId="77777777" w:rsidR="003B5FA3" w:rsidRDefault="003B5FA3" w:rsidP="009E7D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</w:pPr>
            <w:r w:rsidRPr="003B5FA3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Navrhujeme nahradit text „</w:t>
            </w:r>
            <w:r w:rsidRPr="003B5FA3">
              <w:rPr>
                <w:rFonts w:ascii="Arial" w:hAnsi="Arial" w:cs="Arial"/>
                <w:color w:val="EE0000"/>
                <w:sz w:val="16"/>
                <w:szCs w:val="16"/>
                <w:shd w:val="clear" w:color="auto" w:fill="E9ECF1"/>
              </w:rPr>
              <w:t>Záznamem do dokumentace, předáním informací o stavu pacienta praktickému lékaři pacienta dle předem stanoveného ošetřovatelského plánu. V případě zjištění patologických reakcí či změn okamžitou signalizací ošetřujícímu lékaři.</w:t>
            </w:r>
            <w:r>
              <w:rPr>
                <w:rFonts w:ascii="Arial" w:hAnsi="Arial" w:cs="Arial"/>
                <w:color w:val="EE0000"/>
                <w:sz w:val="16"/>
                <w:szCs w:val="16"/>
                <w:shd w:val="clear" w:color="auto" w:fill="E9ECF1"/>
              </w:rPr>
              <w:t xml:space="preserve">“ </w:t>
            </w:r>
            <w:r w:rsidRPr="003B5FA3">
              <w:rPr>
                <w:rFonts w:ascii="Arial" w:hAnsi="Arial" w:cs="Arial"/>
                <w:color w:val="EE0000"/>
                <w:sz w:val="16"/>
                <w:szCs w:val="16"/>
                <w:shd w:val="clear" w:color="auto" w:fill="E9ECF1"/>
              </w:rPr>
              <w:t xml:space="preserve">textem </w:t>
            </w:r>
            <w:r w:rsidRPr="003B5FA3">
              <w:rPr>
                <w:rFonts w:ascii="Arial" w:hAnsi="Arial" w:cs="Arial"/>
                <w:b/>
                <w:bCs/>
                <w:color w:val="EE0000"/>
                <w:sz w:val="16"/>
                <w:szCs w:val="16"/>
                <w:shd w:val="clear" w:color="auto" w:fill="E9ECF1"/>
              </w:rPr>
              <w:t>„</w:t>
            </w:r>
            <w:r w:rsidRPr="003B5FA3"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  <w:t>Na základě zjištěných parametrů vyhodnocení zdravotního stavu. Edukací pacienta, záznamem do dokumentace a v případě zjištění patologie, nebo změn ve zdravotním stavu pacienta, signalizací ošetřujícímu lékaři, úklidem pracovních pomůcek, likvidací odpadu dle provozního řádu.</w:t>
            </w:r>
          </w:p>
          <w:p w14:paraId="39381F10" w14:textId="77777777" w:rsidR="006433E1" w:rsidRDefault="006433E1" w:rsidP="009E7D90">
            <w:pPr>
              <w:spacing w:after="0" w:line="240" w:lineRule="auto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</w:p>
          <w:p w14:paraId="7A54C59D" w14:textId="045532E6" w:rsidR="009D4A96" w:rsidRDefault="003B5FA3" w:rsidP="009E7D90">
            <w:pPr>
              <w:spacing w:after="0" w:line="240" w:lineRule="auto"/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Stávající text neodpovídá realitě. 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I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ndikujícím lékařem není pouze praktický lékař. 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V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> praxi se nepředává informace indikujícímu lékaři po každém provedeném výkonu. Sestra postupuje podle indikace a ošetřovatelského plánu. Od 1.1. 2026 je poskytovatel domácí péče</w:t>
            </w:r>
            <w:r w:rsidR="006433E1"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, pokud to indikující lékař nevyloučí, oprávněn sám </w:t>
            </w:r>
            <w:r>
              <w:rPr>
                <w:rFonts w:ascii="Arial" w:eastAsia="Times New Roman" w:hAnsi="Arial" w:cs="Arial"/>
                <w:color w:val="EE0000"/>
                <w:sz w:val="16"/>
                <w:szCs w:val="16"/>
                <w:lang w:eastAsia="cs-CZ"/>
              </w:rPr>
              <w:t xml:space="preserve">indikovat rozsah poskytované ošetřovatelské péče, který je potřebný k dosažení účelu, který v indikaci vymezil ošetřující lékař. Nové navrhované znění odráží reálné postupy při poskytování ošetřovatelské péče. </w:t>
            </w:r>
          </w:p>
          <w:p w14:paraId="6EB89EE2" w14:textId="77777777" w:rsidR="003B5FA3" w:rsidRDefault="003B5FA3" w:rsidP="009E7D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</w:pPr>
          </w:p>
          <w:p w14:paraId="0A829A8E" w14:textId="77777777" w:rsidR="003B5FA3" w:rsidRPr="003B5FA3" w:rsidRDefault="003B5FA3" w:rsidP="009E7D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EE0000"/>
                <w:sz w:val="16"/>
                <w:szCs w:val="16"/>
                <w:lang w:eastAsia="cs-CZ"/>
              </w:rPr>
            </w:pPr>
          </w:p>
          <w:p w14:paraId="10570F51" w14:textId="43E05007" w:rsidR="009D4A96" w:rsidRPr="009E7D90" w:rsidRDefault="009D4A96" w:rsidP="009E7D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EE0000"/>
                <w:sz w:val="16"/>
                <w:szCs w:val="16"/>
                <w:lang w:eastAsia="cs-CZ"/>
              </w:rPr>
            </w:pPr>
          </w:p>
        </w:tc>
      </w:tr>
      <w:tr w:rsidR="000B63FB" w:rsidRPr="00B726DC" w14:paraId="014A0CB9" w14:textId="77777777" w:rsidTr="00A37C78">
        <w:trPr>
          <w:trHeight w:val="1232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85F52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C965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06315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OŠETŘOVACÍ NÁVŠTĚVA - DOMÁCÍ PÉČE - TYP II.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330B6C" w14:textId="6E166492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64BA1502" w14:textId="77777777" w:rsidTr="00BA01D7">
        <w:trPr>
          <w:trHeight w:val="65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6CA8F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5900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06317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OŠETŘOVACÍ NÁVŠTĚVA - DOMÁCÍ PÉČE - TYP III.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91F03C" w14:textId="693D63B2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dtto</w:t>
            </w:r>
          </w:p>
        </w:tc>
      </w:tr>
      <w:tr w:rsidR="000B63FB" w:rsidRPr="00B726DC" w14:paraId="46F7F606" w14:textId="77777777" w:rsidTr="00BA01D7">
        <w:trPr>
          <w:trHeight w:val="1199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C4E2C4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925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4868" w14:textId="77777777" w:rsidR="000B63FB" w:rsidRPr="00B726DC" w:rsidRDefault="000B63FB" w:rsidP="00677A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06318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OŠETŘOVACÍ NÁVŠTĚVA - DOMÁCÍ PÉČE - TYP IV.</w:t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r w:rsidRPr="00B726D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br/>
              <w:t>změnové řízení: změna popisu a obsahu</w:t>
            </w:r>
          </w:p>
        </w:tc>
        <w:tc>
          <w:tcPr>
            <w:tcW w:w="3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A7230A" w14:textId="2276387D" w:rsidR="000B63FB" w:rsidRPr="00B726DC" w:rsidRDefault="000B63FB" w:rsidP="005F7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dtto</w:t>
            </w:r>
          </w:p>
        </w:tc>
      </w:tr>
    </w:tbl>
    <w:p w14:paraId="09EF995A" w14:textId="77777777" w:rsidR="007C0E75" w:rsidRPr="00B726DC" w:rsidRDefault="007C0E75">
      <w:pPr>
        <w:rPr>
          <w:rFonts w:ascii="Arial" w:hAnsi="Arial" w:cs="Arial"/>
          <w:sz w:val="16"/>
          <w:szCs w:val="16"/>
        </w:rPr>
      </w:pPr>
    </w:p>
    <w:sectPr w:rsidR="007C0E75" w:rsidRPr="00B726DC" w:rsidSect="00677A2B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D9896" w14:textId="77777777" w:rsidR="00317073" w:rsidRDefault="00317073" w:rsidP="00E2100C">
      <w:pPr>
        <w:spacing w:after="0" w:line="240" w:lineRule="auto"/>
      </w:pPr>
      <w:r>
        <w:separator/>
      </w:r>
    </w:p>
  </w:endnote>
  <w:endnote w:type="continuationSeparator" w:id="0">
    <w:p w14:paraId="431E7A42" w14:textId="77777777" w:rsidR="00317073" w:rsidRDefault="00317073" w:rsidP="00E2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5903738"/>
      <w:docPartObj>
        <w:docPartGallery w:val="Page Numbers (Bottom of Page)"/>
        <w:docPartUnique/>
      </w:docPartObj>
    </w:sdtPr>
    <w:sdtEndPr/>
    <w:sdtContent>
      <w:p w14:paraId="6FE43467" w14:textId="20874F3C" w:rsidR="00B3170D" w:rsidRDefault="00B3170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E11">
          <w:rPr>
            <w:noProof/>
          </w:rPr>
          <w:t>2</w:t>
        </w:r>
        <w:r>
          <w:fldChar w:fldCharType="end"/>
        </w:r>
      </w:p>
    </w:sdtContent>
  </w:sdt>
  <w:p w14:paraId="1D9C0B33" w14:textId="77777777" w:rsidR="00B3170D" w:rsidRDefault="00B317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698" w14:textId="77777777" w:rsidR="00317073" w:rsidRDefault="00317073" w:rsidP="00E2100C">
      <w:pPr>
        <w:spacing w:after="0" w:line="240" w:lineRule="auto"/>
      </w:pPr>
      <w:r>
        <w:separator/>
      </w:r>
    </w:p>
  </w:footnote>
  <w:footnote w:type="continuationSeparator" w:id="0">
    <w:p w14:paraId="5795A259" w14:textId="77777777" w:rsidR="00317073" w:rsidRDefault="00317073" w:rsidP="00E21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94048" w14:textId="03A4D3D5" w:rsidR="00E2100C" w:rsidRPr="001831B8" w:rsidRDefault="00E2100C">
    <w:pPr>
      <w:pStyle w:val="Zhlav"/>
      <w:rPr>
        <w:rFonts w:ascii="Arial" w:hAnsi="Arial" w:cs="Arial"/>
        <w:i/>
        <w:iCs/>
        <w:sz w:val="18"/>
        <w:szCs w:val="18"/>
      </w:rPr>
    </w:pPr>
    <w:r w:rsidRPr="004144C3">
      <w:rPr>
        <w:rFonts w:ascii="Arial" w:hAnsi="Arial" w:cs="Arial"/>
        <w:i/>
        <w:iCs/>
        <w:sz w:val="18"/>
        <w:szCs w:val="18"/>
      </w:rPr>
      <w:t xml:space="preserve">Připomínky VZP ČR k výkonům PS k SZV při MZ – pracovní jednání </w:t>
    </w:r>
    <w:r w:rsidR="001831B8">
      <w:rPr>
        <w:rFonts w:ascii="Arial" w:hAnsi="Arial" w:cs="Arial"/>
        <w:i/>
        <w:iCs/>
        <w:sz w:val="18"/>
        <w:szCs w:val="18"/>
      </w:rPr>
      <w:t>9</w:t>
    </w:r>
    <w:r w:rsidRPr="004144C3">
      <w:rPr>
        <w:rFonts w:ascii="Arial" w:hAnsi="Arial" w:cs="Arial"/>
        <w:i/>
        <w:iCs/>
        <w:sz w:val="18"/>
        <w:szCs w:val="18"/>
      </w:rPr>
      <w:t>.</w:t>
    </w:r>
    <w:r w:rsidR="001831B8">
      <w:rPr>
        <w:rFonts w:ascii="Arial" w:hAnsi="Arial" w:cs="Arial"/>
        <w:i/>
        <w:iCs/>
        <w:sz w:val="18"/>
        <w:szCs w:val="18"/>
      </w:rPr>
      <w:t xml:space="preserve"> – 13. 2</w:t>
    </w:r>
    <w:r w:rsidRPr="004144C3">
      <w:rPr>
        <w:rFonts w:ascii="Arial" w:hAnsi="Arial" w:cs="Arial"/>
        <w:i/>
        <w:iCs/>
        <w:sz w:val="18"/>
        <w:szCs w:val="18"/>
      </w:rPr>
      <w:t>.</w:t>
    </w:r>
    <w:r w:rsidR="001831B8">
      <w:rPr>
        <w:rFonts w:ascii="Arial" w:hAnsi="Arial" w:cs="Arial"/>
        <w:i/>
        <w:iCs/>
        <w:sz w:val="18"/>
        <w:szCs w:val="18"/>
      </w:rPr>
      <w:t xml:space="preserve"> </w:t>
    </w:r>
    <w:r w:rsidRPr="004144C3">
      <w:rPr>
        <w:rFonts w:ascii="Arial" w:hAnsi="Arial" w:cs="Arial"/>
        <w:i/>
        <w:iCs/>
        <w:sz w:val="18"/>
        <w:szCs w:val="18"/>
      </w:rPr>
      <w:t>202</w:t>
    </w:r>
    <w:r w:rsidR="001831B8">
      <w:rPr>
        <w:rFonts w:ascii="Arial" w:hAnsi="Arial" w:cs="Arial"/>
        <w:i/>
        <w:iCs/>
        <w:sz w:val="18"/>
        <w:szCs w:val="18"/>
      </w:rPr>
      <w:t>6</w:t>
    </w:r>
  </w:p>
  <w:p w14:paraId="5955ED54" w14:textId="77777777" w:rsidR="00E2100C" w:rsidRDefault="00E210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6D3"/>
    <w:multiLevelType w:val="hybridMultilevel"/>
    <w:tmpl w:val="AC5A9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74F2"/>
    <w:multiLevelType w:val="hybridMultilevel"/>
    <w:tmpl w:val="808A8FE0"/>
    <w:lvl w:ilvl="0" w:tplc="ECC87D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E2404"/>
    <w:multiLevelType w:val="hybridMultilevel"/>
    <w:tmpl w:val="A8DA48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E5214"/>
    <w:multiLevelType w:val="hybridMultilevel"/>
    <w:tmpl w:val="02468A5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3B26AD"/>
    <w:multiLevelType w:val="hybridMultilevel"/>
    <w:tmpl w:val="F69AF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DC4FFE"/>
    <w:multiLevelType w:val="multilevel"/>
    <w:tmpl w:val="F4C00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33FE3"/>
    <w:multiLevelType w:val="hybridMultilevel"/>
    <w:tmpl w:val="C554D9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10338A"/>
    <w:multiLevelType w:val="hybridMultilevel"/>
    <w:tmpl w:val="EC2CFF5C"/>
    <w:lvl w:ilvl="0" w:tplc="AE28D2CC">
      <w:start w:val="1"/>
      <w:numFmt w:val="bullet"/>
      <w:lvlText w:val=""/>
      <w:lvlJc w:val="left"/>
      <w:pPr>
        <w:ind w:left="656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3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</w:abstractNum>
  <w:abstractNum w:abstractNumId="8" w15:restartNumberingAfterBreak="0">
    <w:nsid w:val="1B5D73CF"/>
    <w:multiLevelType w:val="hybridMultilevel"/>
    <w:tmpl w:val="59408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F3A9E"/>
    <w:multiLevelType w:val="hybridMultilevel"/>
    <w:tmpl w:val="06C06496"/>
    <w:lvl w:ilvl="0" w:tplc="0405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2386720B"/>
    <w:multiLevelType w:val="hybridMultilevel"/>
    <w:tmpl w:val="213EA7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447026"/>
    <w:multiLevelType w:val="hybridMultilevel"/>
    <w:tmpl w:val="7E5CF59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 w15:restartNumberingAfterBreak="0">
    <w:nsid w:val="271209CB"/>
    <w:multiLevelType w:val="hybridMultilevel"/>
    <w:tmpl w:val="9FF8793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E66FF0"/>
    <w:multiLevelType w:val="hybridMultilevel"/>
    <w:tmpl w:val="25AED0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31E49"/>
    <w:multiLevelType w:val="hybridMultilevel"/>
    <w:tmpl w:val="9C340684"/>
    <w:lvl w:ilvl="0" w:tplc="AE28D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76B6A"/>
    <w:multiLevelType w:val="hybridMultilevel"/>
    <w:tmpl w:val="2FD6AC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607C68"/>
    <w:multiLevelType w:val="hybridMultilevel"/>
    <w:tmpl w:val="EB3AD2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9D084F"/>
    <w:multiLevelType w:val="hybridMultilevel"/>
    <w:tmpl w:val="653E72F2"/>
    <w:lvl w:ilvl="0" w:tplc="040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 w15:restartNumberingAfterBreak="0">
    <w:nsid w:val="51A85113"/>
    <w:multiLevelType w:val="hybridMultilevel"/>
    <w:tmpl w:val="2D64D542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D4BC2"/>
    <w:multiLevelType w:val="hybridMultilevel"/>
    <w:tmpl w:val="CBA61F6A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20" w15:restartNumberingAfterBreak="0">
    <w:nsid w:val="638C4794"/>
    <w:multiLevelType w:val="hybridMultilevel"/>
    <w:tmpl w:val="9878DA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61996"/>
    <w:multiLevelType w:val="hybridMultilevel"/>
    <w:tmpl w:val="942825EC"/>
    <w:lvl w:ilvl="0" w:tplc="2AFED7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A2386"/>
    <w:multiLevelType w:val="hybridMultilevel"/>
    <w:tmpl w:val="E26E3D9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4B051E"/>
    <w:multiLevelType w:val="hybridMultilevel"/>
    <w:tmpl w:val="F38CD4C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420DCD"/>
    <w:multiLevelType w:val="hybridMultilevel"/>
    <w:tmpl w:val="641292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576C8"/>
    <w:multiLevelType w:val="hybridMultilevel"/>
    <w:tmpl w:val="4FAE4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C65DD"/>
    <w:multiLevelType w:val="hybridMultilevel"/>
    <w:tmpl w:val="43D01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D2AB0"/>
    <w:multiLevelType w:val="hybridMultilevel"/>
    <w:tmpl w:val="A648C2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B406E30"/>
    <w:multiLevelType w:val="hybridMultilevel"/>
    <w:tmpl w:val="C4741F35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6B12B1"/>
    <w:multiLevelType w:val="hybridMultilevel"/>
    <w:tmpl w:val="0F8831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5"/>
  </w:num>
  <w:num w:numId="4">
    <w:abstractNumId w:val="12"/>
  </w:num>
  <w:num w:numId="5">
    <w:abstractNumId w:val="11"/>
  </w:num>
  <w:num w:numId="6">
    <w:abstractNumId w:val="28"/>
  </w:num>
  <w:num w:numId="7">
    <w:abstractNumId w:val="27"/>
  </w:num>
  <w:num w:numId="8">
    <w:abstractNumId w:val="26"/>
  </w:num>
  <w:num w:numId="9">
    <w:abstractNumId w:val="10"/>
  </w:num>
  <w:num w:numId="10">
    <w:abstractNumId w:val="3"/>
  </w:num>
  <w:num w:numId="11">
    <w:abstractNumId w:val="23"/>
  </w:num>
  <w:num w:numId="12">
    <w:abstractNumId w:val="9"/>
  </w:num>
  <w:num w:numId="13">
    <w:abstractNumId w:val="17"/>
  </w:num>
  <w:num w:numId="14">
    <w:abstractNumId w:val="22"/>
  </w:num>
  <w:num w:numId="15">
    <w:abstractNumId w:val="25"/>
  </w:num>
  <w:num w:numId="16">
    <w:abstractNumId w:val="19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"/>
  </w:num>
  <w:num w:numId="20">
    <w:abstractNumId w:val="21"/>
  </w:num>
  <w:num w:numId="21">
    <w:abstractNumId w:val="29"/>
  </w:num>
  <w:num w:numId="22">
    <w:abstractNumId w:val="15"/>
  </w:num>
  <w:num w:numId="23">
    <w:abstractNumId w:val="24"/>
  </w:num>
  <w:num w:numId="24">
    <w:abstractNumId w:val="8"/>
  </w:num>
  <w:num w:numId="25">
    <w:abstractNumId w:val="16"/>
  </w:num>
  <w:num w:numId="26">
    <w:abstractNumId w:val="20"/>
  </w:num>
  <w:num w:numId="27">
    <w:abstractNumId w:val="1"/>
  </w:num>
  <w:num w:numId="28">
    <w:abstractNumId w:val="0"/>
  </w:num>
  <w:num w:numId="29">
    <w:abstractNumId w:val="4"/>
  </w:num>
  <w:num w:numId="30">
    <w:abstractNumId w:val="18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A2B"/>
    <w:rsid w:val="00013767"/>
    <w:rsid w:val="0002511F"/>
    <w:rsid w:val="00046BA2"/>
    <w:rsid w:val="00052E99"/>
    <w:rsid w:val="00054629"/>
    <w:rsid w:val="00070DBF"/>
    <w:rsid w:val="00077388"/>
    <w:rsid w:val="00086195"/>
    <w:rsid w:val="00086B71"/>
    <w:rsid w:val="00091E78"/>
    <w:rsid w:val="000B29EF"/>
    <w:rsid w:val="000B51C5"/>
    <w:rsid w:val="000B63FB"/>
    <w:rsid w:val="000B69DD"/>
    <w:rsid w:val="000C7981"/>
    <w:rsid w:val="000E5B13"/>
    <w:rsid w:val="000E6BF2"/>
    <w:rsid w:val="000F14EC"/>
    <w:rsid w:val="000F7ABD"/>
    <w:rsid w:val="000F7FC3"/>
    <w:rsid w:val="001127CD"/>
    <w:rsid w:val="0012074B"/>
    <w:rsid w:val="0012199C"/>
    <w:rsid w:val="00126B45"/>
    <w:rsid w:val="00132E5D"/>
    <w:rsid w:val="00140959"/>
    <w:rsid w:val="00155888"/>
    <w:rsid w:val="00156148"/>
    <w:rsid w:val="00156401"/>
    <w:rsid w:val="001601BE"/>
    <w:rsid w:val="0016153E"/>
    <w:rsid w:val="00175245"/>
    <w:rsid w:val="00182115"/>
    <w:rsid w:val="0018308F"/>
    <w:rsid w:val="001831B8"/>
    <w:rsid w:val="00184E53"/>
    <w:rsid w:val="001979A3"/>
    <w:rsid w:val="001B33F3"/>
    <w:rsid w:val="001B39A4"/>
    <w:rsid w:val="001B7984"/>
    <w:rsid w:val="001D69A9"/>
    <w:rsid w:val="001E04FD"/>
    <w:rsid w:val="001E20E5"/>
    <w:rsid w:val="00204140"/>
    <w:rsid w:val="002148B1"/>
    <w:rsid w:val="00226DA6"/>
    <w:rsid w:val="002425F0"/>
    <w:rsid w:val="00247035"/>
    <w:rsid w:val="00265D0F"/>
    <w:rsid w:val="00273EA7"/>
    <w:rsid w:val="00283788"/>
    <w:rsid w:val="002A347C"/>
    <w:rsid w:val="002A4F2C"/>
    <w:rsid w:val="002B4265"/>
    <w:rsid w:val="002C354F"/>
    <w:rsid w:val="002D211A"/>
    <w:rsid w:val="00317073"/>
    <w:rsid w:val="00317C4A"/>
    <w:rsid w:val="00321B20"/>
    <w:rsid w:val="003341CF"/>
    <w:rsid w:val="00334949"/>
    <w:rsid w:val="00334A65"/>
    <w:rsid w:val="00352C83"/>
    <w:rsid w:val="00353F5C"/>
    <w:rsid w:val="003635D2"/>
    <w:rsid w:val="00370FAD"/>
    <w:rsid w:val="003767C0"/>
    <w:rsid w:val="00382E1C"/>
    <w:rsid w:val="00383DD0"/>
    <w:rsid w:val="00390D34"/>
    <w:rsid w:val="003B1879"/>
    <w:rsid w:val="003B532C"/>
    <w:rsid w:val="003B5FA3"/>
    <w:rsid w:val="003C2181"/>
    <w:rsid w:val="003C4E55"/>
    <w:rsid w:val="003C6A9D"/>
    <w:rsid w:val="003F0023"/>
    <w:rsid w:val="00417548"/>
    <w:rsid w:val="0043495E"/>
    <w:rsid w:val="00436B42"/>
    <w:rsid w:val="004463F6"/>
    <w:rsid w:val="00446BC0"/>
    <w:rsid w:val="00460E5E"/>
    <w:rsid w:val="00467BE6"/>
    <w:rsid w:val="0047302C"/>
    <w:rsid w:val="0047420C"/>
    <w:rsid w:val="00484B64"/>
    <w:rsid w:val="004869EF"/>
    <w:rsid w:val="00497713"/>
    <w:rsid w:val="004B6221"/>
    <w:rsid w:val="004D07E1"/>
    <w:rsid w:val="004D4758"/>
    <w:rsid w:val="004D6226"/>
    <w:rsid w:val="004E6652"/>
    <w:rsid w:val="00506ABA"/>
    <w:rsid w:val="00520D6F"/>
    <w:rsid w:val="00520EB1"/>
    <w:rsid w:val="00523A52"/>
    <w:rsid w:val="0052787E"/>
    <w:rsid w:val="00553B1A"/>
    <w:rsid w:val="005551DE"/>
    <w:rsid w:val="00555770"/>
    <w:rsid w:val="005619BC"/>
    <w:rsid w:val="00561DA9"/>
    <w:rsid w:val="0056494C"/>
    <w:rsid w:val="005708BD"/>
    <w:rsid w:val="005754FC"/>
    <w:rsid w:val="005978F5"/>
    <w:rsid w:val="005B4A35"/>
    <w:rsid w:val="005B4F00"/>
    <w:rsid w:val="005C5CC8"/>
    <w:rsid w:val="005C5EDC"/>
    <w:rsid w:val="005D00D7"/>
    <w:rsid w:val="005D532E"/>
    <w:rsid w:val="005E0893"/>
    <w:rsid w:val="005E26DC"/>
    <w:rsid w:val="005F1CA8"/>
    <w:rsid w:val="005F7074"/>
    <w:rsid w:val="005F75D3"/>
    <w:rsid w:val="00600CFA"/>
    <w:rsid w:val="00630338"/>
    <w:rsid w:val="006433E1"/>
    <w:rsid w:val="00651A6C"/>
    <w:rsid w:val="00654D5F"/>
    <w:rsid w:val="00660D8B"/>
    <w:rsid w:val="00672CA0"/>
    <w:rsid w:val="00674857"/>
    <w:rsid w:val="00677A2B"/>
    <w:rsid w:val="006827FA"/>
    <w:rsid w:val="00683834"/>
    <w:rsid w:val="006C4AFB"/>
    <w:rsid w:val="006D2D17"/>
    <w:rsid w:val="006E44B8"/>
    <w:rsid w:val="006F40AE"/>
    <w:rsid w:val="006F5AB8"/>
    <w:rsid w:val="006F798F"/>
    <w:rsid w:val="006F7E9E"/>
    <w:rsid w:val="007020BA"/>
    <w:rsid w:val="007036D8"/>
    <w:rsid w:val="00724E28"/>
    <w:rsid w:val="00725CFE"/>
    <w:rsid w:val="00742113"/>
    <w:rsid w:val="00744674"/>
    <w:rsid w:val="007619DD"/>
    <w:rsid w:val="00775FB0"/>
    <w:rsid w:val="00792FA7"/>
    <w:rsid w:val="007A025B"/>
    <w:rsid w:val="007A2970"/>
    <w:rsid w:val="007B52FF"/>
    <w:rsid w:val="007B7E77"/>
    <w:rsid w:val="007C0E75"/>
    <w:rsid w:val="007C1C7D"/>
    <w:rsid w:val="007D6833"/>
    <w:rsid w:val="007E14D7"/>
    <w:rsid w:val="007E3208"/>
    <w:rsid w:val="007E5B34"/>
    <w:rsid w:val="007E7D95"/>
    <w:rsid w:val="007F20E7"/>
    <w:rsid w:val="007F2D62"/>
    <w:rsid w:val="007F5C26"/>
    <w:rsid w:val="00854C59"/>
    <w:rsid w:val="0085723D"/>
    <w:rsid w:val="00881BCF"/>
    <w:rsid w:val="0089181D"/>
    <w:rsid w:val="008936FA"/>
    <w:rsid w:val="00894ECD"/>
    <w:rsid w:val="0089791A"/>
    <w:rsid w:val="008A0252"/>
    <w:rsid w:val="008A449A"/>
    <w:rsid w:val="008B6B4A"/>
    <w:rsid w:val="008C6E4F"/>
    <w:rsid w:val="008C71F4"/>
    <w:rsid w:val="008D66AD"/>
    <w:rsid w:val="008F06AC"/>
    <w:rsid w:val="008F0C08"/>
    <w:rsid w:val="009033F1"/>
    <w:rsid w:val="009066E0"/>
    <w:rsid w:val="00911CFE"/>
    <w:rsid w:val="00912D49"/>
    <w:rsid w:val="00917307"/>
    <w:rsid w:val="00920B28"/>
    <w:rsid w:val="00920B89"/>
    <w:rsid w:val="00925B47"/>
    <w:rsid w:val="00932559"/>
    <w:rsid w:val="00946737"/>
    <w:rsid w:val="009519C6"/>
    <w:rsid w:val="0095592D"/>
    <w:rsid w:val="00962587"/>
    <w:rsid w:val="009644F9"/>
    <w:rsid w:val="009655E9"/>
    <w:rsid w:val="00981A29"/>
    <w:rsid w:val="00985ECF"/>
    <w:rsid w:val="00995420"/>
    <w:rsid w:val="0099543C"/>
    <w:rsid w:val="009A5A2C"/>
    <w:rsid w:val="009A7D7D"/>
    <w:rsid w:val="009B3A43"/>
    <w:rsid w:val="009D4A96"/>
    <w:rsid w:val="009D73E0"/>
    <w:rsid w:val="009D7EFA"/>
    <w:rsid w:val="009E451B"/>
    <w:rsid w:val="009E7D90"/>
    <w:rsid w:val="009F2B38"/>
    <w:rsid w:val="00A04765"/>
    <w:rsid w:val="00A10D58"/>
    <w:rsid w:val="00A1529B"/>
    <w:rsid w:val="00A173F7"/>
    <w:rsid w:val="00A224A9"/>
    <w:rsid w:val="00A25651"/>
    <w:rsid w:val="00A27632"/>
    <w:rsid w:val="00A3307E"/>
    <w:rsid w:val="00A37C78"/>
    <w:rsid w:val="00A40D03"/>
    <w:rsid w:val="00A45080"/>
    <w:rsid w:val="00A478DB"/>
    <w:rsid w:val="00A540B4"/>
    <w:rsid w:val="00A54EA0"/>
    <w:rsid w:val="00A57991"/>
    <w:rsid w:val="00A61C41"/>
    <w:rsid w:val="00A625F0"/>
    <w:rsid w:val="00A72541"/>
    <w:rsid w:val="00A76989"/>
    <w:rsid w:val="00A81E26"/>
    <w:rsid w:val="00A909E5"/>
    <w:rsid w:val="00A94DBD"/>
    <w:rsid w:val="00AB23F3"/>
    <w:rsid w:val="00AB2D3C"/>
    <w:rsid w:val="00AB5421"/>
    <w:rsid w:val="00AC3412"/>
    <w:rsid w:val="00AC6C52"/>
    <w:rsid w:val="00AD76CF"/>
    <w:rsid w:val="00AE26B5"/>
    <w:rsid w:val="00AF3D03"/>
    <w:rsid w:val="00B00F51"/>
    <w:rsid w:val="00B050F5"/>
    <w:rsid w:val="00B052AD"/>
    <w:rsid w:val="00B16A2B"/>
    <w:rsid w:val="00B222D2"/>
    <w:rsid w:val="00B23336"/>
    <w:rsid w:val="00B27E7A"/>
    <w:rsid w:val="00B3170D"/>
    <w:rsid w:val="00B3375F"/>
    <w:rsid w:val="00B40BBA"/>
    <w:rsid w:val="00B518F2"/>
    <w:rsid w:val="00B57240"/>
    <w:rsid w:val="00B57656"/>
    <w:rsid w:val="00B66A88"/>
    <w:rsid w:val="00B726DC"/>
    <w:rsid w:val="00B815B0"/>
    <w:rsid w:val="00B84869"/>
    <w:rsid w:val="00B84A64"/>
    <w:rsid w:val="00B96635"/>
    <w:rsid w:val="00B97416"/>
    <w:rsid w:val="00B976F4"/>
    <w:rsid w:val="00BA01D7"/>
    <w:rsid w:val="00BA602E"/>
    <w:rsid w:val="00BD0DDC"/>
    <w:rsid w:val="00BE7B2B"/>
    <w:rsid w:val="00BE7E49"/>
    <w:rsid w:val="00BF0F00"/>
    <w:rsid w:val="00BF1F18"/>
    <w:rsid w:val="00BF2784"/>
    <w:rsid w:val="00C01A44"/>
    <w:rsid w:val="00C2051E"/>
    <w:rsid w:val="00C21879"/>
    <w:rsid w:val="00C40430"/>
    <w:rsid w:val="00C4680A"/>
    <w:rsid w:val="00C612CD"/>
    <w:rsid w:val="00C77CB7"/>
    <w:rsid w:val="00C834C9"/>
    <w:rsid w:val="00C8363E"/>
    <w:rsid w:val="00C95CD3"/>
    <w:rsid w:val="00CA0D00"/>
    <w:rsid w:val="00CA36F9"/>
    <w:rsid w:val="00CC42ED"/>
    <w:rsid w:val="00CF5CA2"/>
    <w:rsid w:val="00D01AC3"/>
    <w:rsid w:val="00D03FBA"/>
    <w:rsid w:val="00D205EB"/>
    <w:rsid w:val="00D46334"/>
    <w:rsid w:val="00D5347B"/>
    <w:rsid w:val="00D539E6"/>
    <w:rsid w:val="00D57C00"/>
    <w:rsid w:val="00D62C10"/>
    <w:rsid w:val="00D70CA2"/>
    <w:rsid w:val="00D71816"/>
    <w:rsid w:val="00D74491"/>
    <w:rsid w:val="00D76A19"/>
    <w:rsid w:val="00D926D3"/>
    <w:rsid w:val="00D934AC"/>
    <w:rsid w:val="00DB384F"/>
    <w:rsid w:val="00DC12FB"/>
    <w:rsid w:val="00DC4AB7"/>
    <w:rsid w:val="00DC62A6"/>
    <w:rsid w:val="00DD2B94"/>
    <w:rsid w:val="00DE61B2"/>
    <w:rsid w:val="00DE6E11"/>
    <w:rsid w:val="00DE7F2A"/>
    <w:rsid w:val="00DF2A27"/>
    <w:rsid w:val="00DF3F4D"/>
    <w:rsid w:val="00DF6538"/>
    <w:rsid w:val="00E0653A"/>
    <w:rsid w:val="00E11785"/>
    <w:rsid w:val="00E14292"/>
    <w:rsid w:val="00E2100C"/>
    <w:rsid w:val="00E510B6"/>
    <w:rsid w:val="00E51551"/>
    <w:rsid w:val="00E66F34"/>
    <w:rsid w:val="00E77E67"/>
    <w:rsid w:val="00E855C6"/>
    <w:rsid w:val="00E8731E"/>
    <w:rsid w:val="00E903A9"/>
    <w:rsid w:val="00E970FD"/>
    <w:rsid w:val="00EB2256"/>
    <w:rsid w:val="00EB2660"/>
    <w:rsid w:val="00EB6377"/>
    <w:rsid w:val="00EB6F16"/>
    <w:rsid w:val="00EC0540"/>
    <w:rsid w:val="00EF5A60"/>
    <w:rsid w:val="00EF78C7"/>
    <w:rsid w:val="00F018B1"/>
    <w:rsid w:val="00F10770"/>
    <w:rsid w:val="00F12EEF"/>
    <w:rsid w:val="00F13B13"/>
    <w:rsid w:val="00F26B7D"/>
    <w:rsid w:val="00F33B44"/>
    <w:rsid w:val="00F41CC5"/>
    <w:rsid w:val="00F46AEA"/>
    <w:rsid w:val="00F51F45"/>
    <w:rsid w:val="00F6197A"/>
    <w:rsid w:val="00F73E5C"/>
    <w:rsid w:val="00F80C3C"/>
    <w:rsid w:val="00F90E6F"/>
    <w:rsid w:val="00FA4B65"/>
    <w:rsid w:val="00FB73AE"/>
    <w:rsid w:val="00FD6628"/>
    <w:rsid w:val="00FD6E6A"/>
    <w:rsid w:val="00FF25B6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0BA66"/>
  <w15:chartTrackingRefBased/>
  <w15:docId w15:val="{4E9FEBC2-1ADF-4F17-8A9B-85A1C2DD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21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100C"/>
  </w:style>
  <w:style w:type="paragraph" w:styleId="Zpat">
    <w:name w:val="footer"/>
    <w:basedOn w:val="Normln"/>
    <w:link w:val="ZpatChar"/>
    <w:uiPriority w:val="99"/>
    <w:unhideWhenUsed/>
    <w:rsid w:val="00E21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100C"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D57C00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2425F0"/>
  </w:style>
  <w:style w:type="character" w:styleId="Hypertextovodkaz">
    <w:name w:val="Hyperlink"/>
    <w:basedOn w:val="Standardnpsmoodstavce"/>
    <w:uiPriority w:val="99"/>
    <w:unhideWhenUsed/>
    <w:rsid w:val="00F90E6F"/>
    <w:rPr>
      <w:color w:val="0563C1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unhideWhenUsed/>
    <w:rsid w:val="00F90E6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90E6F"/>
    <w:rPr>
      <w:sz w:val="20"/>
      <w:szCs w:val="20"/>
    </w:rPr>
  </w:style>
  <w:style w:type="paragraph" w:styleId="Normlnweb">
    <w:name w:val="Normal (Web)"/>
    <w:basedOn w:val="Normln"/>
    <w:uiPriority w:val="99"/>
    <w:semiHidden/>
    <w:unhideWhenUsed/>
    <w:rsid w:val="00A61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436B42"/>
    <w:rPr>
      <w:color w:val="954F72" w:themeColor="followedHyperlink"/>
      <w:u w:val="single"/>
    </w:rPr>
  </w:style>
  <w:style w:type="paragraph" w:customStyle="1" w:styleId="Default">
    <w:name w:val="Default"/>
    <w:rsid w:val="00672C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DF3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D38AF3F335F4280BB29762E89BC66" ma:contentTypeVersion="15" ma:contentTypeDescription="Vytvoří nový dokument" ma:contentTypeScope="" ma:versionID="b94d4401ca955f381f941922026dcb78">
  <xsd:schema xmlns:xsd="http://www.w3.org/2001/XMLSchema" xmlns:xs="http://www.w3.org/2001/XMLSchema" xmlns:p="http://schemas.microsoft.com/office/2006/metadata/properties" xmlns:ns3="d5a1deef-bfe6-4d9f-b950-3834714b0f25" xmlns:ns4="5e4a3b15-6c25-4479-828d-4e97337b9c98" targetNamespace="http://schemas.microsoft.com/office/2006/metadata/properties" ma:root="true" ma:fieldsID="ea485b4de334cfbdc5089ae7ac987ff6" ns3:_="" ns4:_="">
    <xsd:import namespace="d5a1deef-bfe6-4d9f-b950-3834714b0f25"/>
    <xsd:import namespace="5e4a3b15-6c25-4479-828d-4e97337b9c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1deef-bfe6-4d9f-b950-3834714b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4a3b15-6c25-4479-828d-4e97337b9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5a1deef-bfe6-4d9f-b950-3834714b0f2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0B8FF-E1EB-4BE6-B2B4-9FF872807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1deef-bfe6-4d9f-b950-3834714b0f25"/>
    <ds:schemaRef ds:uri="5e4a3b15-6c25-4479-828d-4e97337b9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E9B485-51E1-4458-96D6-242B7A1BF6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91E898-E12D-4EF4-9597-DBE1AB269599}">
  <ds:schemaRefs>
    <ds:schemaRef ds:uri="5e4a3b15-6c25-4479-828d-4e97337b9c98"/>
    <ds:schemaRef ds:uri="d5a1deef-bfe6-4d9f-b950-3834714b0f2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90F7E18-2BEA-4034-9F9C-0DC1DCBEF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951</Words>
  <Characters>5615</Characters>
  <Application>Microsoft Office Word</Application>
  <DocSecurity>4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Markéta RNDr. Ph.D. (VZP ČR Ústředí)</dc:creator>
  <cp:keywords/>
  <dc:description/>
  <cp:lastModifiedBy>Ludmila Kučerová</cp:lastModifiedBy>
  <cp:revision>2</cp:revision>
  <dcterms:created xsi:type="dcterms:W3CDTF">2026-02-03T14:08:00Z</dcterms:created>
  <dcterms:modified xsi:type="dcterms:W3CDTF">2026-02-03T14:08:00Z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0x010100AC2D38AF3F335F4280BB29762E89BC66</vt:lpwstr>
  </property>
</Properties>
</file>